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color w:val="666666"/>
          <w:sz w:val="17"/>
          <w:szCs w:val="17"/>
        </w:rPr>
        <w:t xml:space="preserve">KESTREL ROBOTICS · REVENUE OPERATIONS</w:t>
      </w:r>
    </w:p>
    <w:p>
      <w:pPr>
        <w:pStyle w:val="Heading1"/>
        <w:spacing w:after="120"/>
      </w:pPr>
      <w:r>
        <w:rPr>
          <w:rFonts w:ascii="Arial" w:cs="Arial" w:eastAsia="Arial" w:hAnsi="Arial"/>
          <w:b/>
          <w:bCs/>
          <w:color w:val="1F3A5F"/>
          <w:sz w:val="30"/>
          <w:szCs w:val="30"/>
        </w:rPr>
        <w:t xml:space="preserve">Usage Billing Review — Meeting Notes</w:t>
      </w:r>
    </w:p>
    <w:p>
      <w:pPr>
        <w:spacing w:after="80"/>
      </w:pPr>
      <w:r>
        <w:rPr>
          <w:rFonts w:ascii="Arial" w:cs="Arial" w:eastAsia="Arial" w:hAnsi="Arial"/>
          <w:color w:val="666666"/>
          <w:sz w:val="17"/>
          <w:szCs w:val="17"/>
        </w:rPr>
        <w:t xml:space="preserve">November 3, 2026 · Notes: Leah Morgan</w:t>
      </w:r>
    </w:p>
    <w:p>
      <w:pPr>
        <w:spacing w:after="120"/>
      </w:pPr>
      <w:r>
        <w:rPr>
          <w:rFonts w:ascii="Arial" w:cs="Arial" w:eastAsia="Arial" w:hAnsi="Arial"/>
          <w:b/>
          <w:bCs/>
          <w:sz w:val="20"/>
          <w:szCs w:val="20"/>
        </w:rPr>
        <w:t xml:space="preserve">Attendees: </w:t>
      </w:r>
      <w:r>
        <w:rPr>
          <w:rFonts w:ascii="Arial" w:cs="Arial" w:eastAsia="Arial" w:hAnsi="Arial"/>
          <w:sz w:val="20"/>
          <w:szCs w:val="20"/>
        </w:rPr>
        <w:t xml:space="preserve">Helen Cho (CFO), Marcus Webb (VP Sales), Ana Ruiz (Director of Revenue Operations), Sam Okoro (Director of Customer Success), Dev Patel (Fleet Operations), Tomas Lindgren (IT, Dynamics 365), Leah Morgan (Billing Operations)</w:t>
      </w:r>
    </w:p>
    <w:p>
      <w:pPr>
        <w:pStyle w:val="Heading2"/>
        <w:spacing w:after="100" w:before="200"/>
      </w:pPr>
      <w:r>
        <w:rPr>
          <w:rFonts w:ascii="Arial" w:cs="Arial" w:eastAsia="Arial" w:hAnsi="Arial"/>
          <w:b/>
          <w:bCs/>
          <w:color w:val="1F3A5F"/>
          <w:sz w:val="23"/>
          <w:szCs w:val="23"/>
        </w:rPr>
        <w:t xml:space="preserve">Where we are</w:t>
      </w:r>
    </w:p>
    <w:p>
      <w:pPr>
        <w:pStyle w:val="ListParagraph"/>
        <w:numPr>
          <w:ilvl w:val="0"/>
          <w:numId w:val="2"/>
        </w:numPr>
        <w:spacing w:after="60"/>
      </w:pPr>
      <w:r>
        <w:rPr>
          <w:rFonts w:ascii="Arial" w:cs="Arial" w:eastAsia="Arial" w:hAnsi="Arial"/>
          <w:sz w:val="20"/>
          <w:szCs w:val="20"/>
        </w:rPr>
        <w:t xml:space="preserve">142 customer sites live across 61 customers. 38 of those customers came through reseller partners.</w:t>
      </w:r>
    </w:p>
    <w:p>
      <w:pPr>
        <w:pStyle w:val="ListParagraph"/>
        <w:numPr>
          <w:ilvl w:val="0"/>
          <w:numId w:val="2"/>
        </w:numPr>
        <w:spacing w:after="60"/>
      </w:pPr>
      <w:r>
        <w:rPr>
          <w:rFonts w:ascii="Arial" w:cs="Arial" w:eastAsia="Arial" w:hAnsi="Arial"/>
          <w:sz w:val="20"/>
          <w:szCs w:val="20"/>
        </w:rPr>
        <w:t xml:space="preserve">Pick counts are exported from FleetOS by hand on the 3rd business day of each month and keyed into Dynamics 365. Billing takes about 6 working days a month.</w:t>
      </w:r>
    </w:p>
    <w:p>
      <w:pPr>
        <w:pStyle w:val="ListParagraph"/>
        <w:numPr>
          <w:ilvl w:val="0"/>
          <w:numId w:val="2"/>
        </w:numPr>
        <w:spacing w:after="60"/>
      </w:pPr>
      <w:r>
        <w:rPr>
          <w:rFonts w:ascii="Arial" w:cs="Arial" w:eastAsia="Arial" w:hAnsi="Arial"/>
          <w:sz w:val="20"/>
          <w:szCs w:val="20"/>
        </w:rPr>
        <w:t xml:space="preserve">Last contract-year cohort: 27 true-ups, average 41 days after year end to invoice, 9 disputed.</w:t>
      </w:r>
    </w:p>
    <w:p>
      <w:pPr>
        <w:pStyle w:val="ListParagraph"/>
        <w:numPr>
          <w:ilvl w:val="0"/>
          <w:numId w:val="2"/>
        </w:numPr>
        <w:spacing w:after="60"/>
      </w:pPr>
      <w:r>
        <w:rPr>
          <w:rFonts w:ascii="Arial" w:cs="Arial" w:eastAsia="Arial" w:hAnsi="Arial"/>
          <w:sz w:val="20"/>
          <w:szCs w:val="20"/>
        </w:rPr>
        <w:t xml:space="preserve">Customers only learn where they stand against commit when the true-up arrives.</w:t>
      </w:r>
    </w:p>
    <w:p>
      <w:pPr>
        <w:pStyle w:val="Heading2"/>
        <w:spacing w:after="100" w:before="200"/>
      </w:pPr>
      <w:r>
        <w:rPr>
          <w:rFonts w:ascii="Arial" w:cs="Arial" w:eastAsia="Arial" w:hAnsi="Arial"/>
          <w:b/>
          <w:bCs/>
          <w:color w:val="1F3A5F"/>
          <w:sz w:val="23"/>
          <w:szCs w:val="23"/>
        </w:rPr>
        <w:t xml:space="preserve">Decisions</w:t>
      </w:r>
    </w:p>
    <w:p>
      <w:pPr>
        <w:pStyle w:val="ListParagraph"/>
        <w:numPr>
          <w:ilvl w:val="0"/>
          <w:numId w:val="3"/>
        </w:numPr>
        <w:spacing w:after="60"/>
      </w:pPr>
      <w:r>
        <w:rPr>
          <w:rFonts w:ascii="Arial" w:cs="Arial" w:eastAsia="Arial" w:hAnsi="Arial"/>
          <w:sz w:val="20"/>
          <w:szCs w:val="20"/>
        </w:rPr>
        <w:t xml:space="preserve">Usage feeds from FleetOS daily. Customers see picks against commit per site in their portal.</w:t>
      </w:r>
    </w:p>
    <w:p>
      <w:pPr>
        <w:pStyle w:val="ListParagraph"/>
        <w:numPr>
          <w:ilvl w:val="0"/>
          <w:numId w:val="3"/>
        </w:numPr>
        <w:spacing w:after="60"/>
      </w:pPr>
      <w:r>
        <w:rPr>
          <w:rFonts w:ascii="Arial" w:cs="Arial" w:eastAsia="Arial" w:hAnsi="Arial"/>
          <w:sz w:val="20"/>
          <w:szCs w:val="20"/>
        </w:rPr>
        <w:t xml:space="preserve">Alerts at 80% and 100% of annual commit go to the customer and the account executive.</w:t>
      </w:r>
    </w:p>
    <w:p>
      <w:pPr>
        <w:pStyle w:val="ListParagraph"/>
        <w:numPr>
          <w:ilvl w:val="0"/>
          <w:numId w:val="3"/>
        </w:numPr>
        <w:spacing w:after="60"/>
      </w:pPr>
      <w:r>
        <w:rPr>
          <w:rFonts w:ascii="Arial" w:cs="Arial" w:eastAsia="Arial" w:hAnsi="Arial"/>
          <w:sz w:val="20"/>
          <w:szCs w:val="20"/>
        </w:rPr>
        <w:t xml:space="preserve">An AI agent drafts every true-up with a written explanation per site. Billing or the AE always reviews before the customer sees it.</w:t>
      </w:r>
    </w:p>
    <w:p>
      <w:pPr>
        <w:pStyle w:val="ListParagraph"/>
        <w:numPr>
          <w:ilvl w:val="0"/>
          <w:numId w:val="3"/>
        </w:numPr>
        <w:spacing w:after="60"/>
      </w:pPr>
      <w:r>
        <w:rPr>
          <w:rFonts w:ascii="Arial" w:cs="Arial" w:eastAsia="Arial" w:hAnsi="Arial"/>
          <w:sz w:val="20"/>
          <w:szCs w:val="20"/>
        </w:rPr>
        <w:t xml:space="preserve">When a site moves up a plan mid-year, the whole contract year re-rates at the new plan's rates. This is the incentive to upgrade early.</w:t>
      </w:r>
    </w:p>
    <w:p>
      <w:pPr>
        <w:pStyle w:val="ListParagraph"/>
        <w:numPr>
          <w:ilvl w:val="0"/>
          <w:numId w:val="3"/>
        </w:numPr>
        <w:spacing w:after="60"/>
      </w:pPr>
      <w:r>
        <w:rPr>
          <w:rFonts w:ascii="Arial" w:cs="Arial" w:eastAsia="Arial" w:hAnsi="Arial"/>
          <w:sz w:val="20"/>
          <w:szCs w:val="20"/>
        </w:rPr>
        <w:t xml:space="preserve">Pooling of commitments across an account's sites will be offered on FY27 contracts.</w:t>
      </w:r>
    </w:p>
    <w:p>
      <w:pPr>
        <w:pStyle w:val="Heading2"/>
        <w:spacing w:after="100" w:before="200"/>
      </w:pPr>
      <w:r>
        <w:rPr>
          <w:rFonts w:ascii="Arial" w:cs="Arial" w:eastAsia="Arial" w:hAnsi="Arial"/>
          <w:b/>
          <w:bCs/>
          <w:color w:val="1F3A5F"/>
          <w:sz w:val="23"/>
          <w:szCs w:val="23"/>
        </w:rPr>
        <w:t xml:space="preserve">Open questions</w:t>
      </w:r>
    </w:p>
    <w:p>
      <w:pPr>
        <w:pStyle w:val="ListParagraph"/>
        <w:numPr>
          <w:ilvl w:val="0"/>
          <w:numId w:val="2"/>
        </w:numPr>
        <w:spacing w:after="60"/>
      </w:pPr>
      <w:r>
        <w:rPr>
          <w:rFonts w:ascii="Arial" w:cs="Arial" w:eastAsia="Arial" w:hAnsi="Arial"/>
          <w:b/>
          <w:bCs/>
          <w:sz w:val="20"/>
          <w:szCs w:val="20"/>
        </w:rPr>
        <w:t xml:space="preserve">Pooling for existing contracts. </w:t>
      </w:r>
      <w:r>
        <w:rPr>
          <w:rFonts w:ascii="Arial" w:cs="Arial" w:eastAsia="Arial" w:hAnsi="Arial"/>
          <w:sz w:val="20"/>
          <w:szCs w:val="20"/>
        </w:rPr>
        <w:t xml:space="preserve">Can customers on current agreements opt into pooling at this year's true-up? Helen to decide. Marcus is in favour for accounts with three or more sites.</w:t>
      </w:r>
    </w:p>
    <w:p>
      <w:pPr>
        <w:pStyle w:val="ListParagraph"/>
        <w:numPr>
          <w:ilvl w:val="0"/>
          <w:numId w:val="2"/>
        </w:numPr>
        <w:spacing w:after="60"/>
      </w:pPr>
      <w:r>
        <w:rPr>
          <w:rFonts w:ascii="Arial" w:cs="Arial" w:eastAsia="Arial" w:hAnsi="Arial"/>
          <w:b/>
          <w:bCs/>
          <w:sz w:val="20"/>
          <w:szCs w:val="20"/>
        </w:rPr>
        <w:t xml:space="preserve">What counts as a pick. </w:t>
      </w:r>
      <w:r>
        <w:rPr>
          <w:rFonts w:ascii="Arial" w:cs="Arial" w:eastAsia="Arial" w:hAnsi="Arial"/>
          <w:sz w:val="20"/>
          <w:szCs w:val="20"/>
        </w:rPr>
        <w:t xml:space="preserve">Dev says that when a robot misroutes a tote, the re-pick creates a second confirmed order line. Do we bill both? Customers are starting to notice.</w:t>
      </w:r>
    </w:p>
    <w:p>
      <w:pPr>
        <w:pStyle w:val="ListParagraph"/>
        <w:numPr>
          <w:ilvl w:val="0"/>
          <w:numId w:val="2"/>
        </w:numPr>
        <w:spacing w:after="60"/>
      </w:pPr>
      <w:r>
        <w:rPr>
          <w:rFonts w:ascii="Arial" w:cs="Arial" w:eastAsia="Arial" w:hAnsi="Arial"/>
          <w:b/>
          <w:bCs/>
          <w:sz w:val="20"/>
          <w:szCs w:val="20"/>
        </w:rPr>
        <w:t xml:space="preserve">Partner margin on true-up. </w:t>
      </w:r>
      <w:r>
        <w:rPr>
          <w:rFonts w:ascii="Arial" w:cs="Arial" w:eastAsia="Arial" w:hAnsi="Arial"/>
          <w:sz w:val="20"/>
          <w:szCs w:val="20"/>
        </w:rPr>
        <w:t xml:space="preserve">Schedule B pays 6% on usage invoiced monthly. Nobody is sure whether that extends to true-up overage or shortfall.</w:t>
      </w:r>
    </w:p>
    <w:p>
      <w:pPr>
        <w:pStyle w:val="ListParagraph"/>
        <w:numPr>
          <w:ilvl w:val="0"/>
          <w:numId w:val="2"/>
        </w:numPr>
        <w:spacing w:after="60"/>
      </w:pPr>
      <w:r>
        <w:rPr>
          <w:rFonts w:ascii="Arial" w:cs="Arial" w:eastAsia="Arial" w:hAnsi="Arial"/>
          <w:b/>
          <w:bCs/>
          <w:sz w:val="20"/>
          <w:szCs w:val="20"/>
        </w:rPr>
        <w:t xml:space="preserve">Rate changes in Dynamics. </w:t>
      </w:r>
      <w:r>
        <w:rPr>
          <w:rFonts w:ascii="Arial" w:cs="Arial" w:eastAsia="Arial" w:hAnsi="Arial"/>
          <w:sz w:val="20"/>
          <w:szCs w:val="20"/>
        </w:rPr>
        <w:t xml:space="preserve">Tomas needs to know whether a mid-year plan change creates a new contract line or amends the existing one.</w:t>
      </w:r>
    </w:p>
    <w:p>
      <w:pPr>
        <w:pStyle w:val="Heading2"/>
        <w:spacing w:after="100" w:before="200"/>
      </w:pPr>
      <w:r>
        <w:rPr>
          <w:rFonts w:ascii="Arial" w:cs="Arial" w:eastAsia="Arial" w:hAnsi="Arial"/>
          <w:b/>
          <w:bCs/>
          <w:color w:val="1F3A5F"/>
          <w:sz w:val="23"/>
          <w:szCs w:val="23"/>
        </w:rPr>
        <w:t xml:space="preserve">Example account</w:t>
      </w:r>
    </w:p>
    <w:p>
      <w:pPr>
        <w:spacing w:after="120"/>
      </w:pPr>
      <w:r>
        <w:rPr>
          <w:rFonts w:ascii="Arial" w:cs="Arial" w:eastAsia="Arial" w:hAnsi="Arial"/>
          <w:sz w:val="20"/>
          <w:szCs w:val="20"/>
        </w:rPr>
        <w:t xml:space="preserve">Jordan walked through Northgate Home &amp; Garden (partner: Lakeshore Integration Partners). Three DCs: Columbus, OH (Growth, 24 robots), Reno, NV (Growth, 20 robots), Dallas, TX (Core, 10 robots). Contract year ended October 31, 2026. Columbus ran 3.42M picks against a 3.0M commit; Reno 2.64M against 3.0M; Dallas 1.29M against 1.2M. Columbus has been well over its monthly commit since May.</w:t>
      </w:r>
    </w:p>
    <w:p>
      <w:pPr>
        <w:pStyle w:val="Heading2"/>
        <w:spacing w:after="100" w:before="200"/>
      </w:pPr>
      <w:r>
        <w:rPr>
          <w:rFonts w:ascii="Arial" w:cs="Arial" w:eastAsia="Arial" w:hAnsi="Arial"/>
          <w:b/>
          <w:bCs/>
          <w:color w:val="1F3A5F"/>
          <w:sz w:val="23"/>
          <w:szCs w:val="23"/>
        </w:rPr>
        <w:t xml:space="preserve">Actions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5200"/>
        <w:gridCol w:w="2700"/>
        <w:gridCol w:w="1820"/>
      </w:tblGrid>
      <w:tr>
        <w:tc>
          <w:tcPr>
            <w:tcW w:type="dxa" w:w="5200"/>
            <w:tcBorders>
              <w:top w:val="single" w:color="B8C2CE" w:sz="4"/>
              <w:left w:val="single" w:color="B8C2CE" w:sz="4"/>
              <w:bottom w:val="single" w:color="B8C2CE" w:sz="4"/>
              <w:right w:val="single" w:color="B8C2CE" w:sz="4"/>
            </w:tcBorders>
            <w:shd w:fill="E8EDF3" w:color="auto" w:val="clear"/>
            <w:tcMar>
              <w:top w:type="dxa" w:w="60"/>
              <w:left w:type="dxa" w:w="100"/>
              <w:bottom w:type="dxa" w:w="60"/>
              <w:right w:type="dxa" w:w="100"/>
            </w:tcMar>
          </w:tcPr>
          <w:p>
            <w:r>
              <w:rPr>
                <w:rFonts w:ascii="Arial" w:cs="Arial" w:eastAsia="Arial" w:hAnsi="Arial"/>
                <w:b/>
                <w:bCs/>
                <w:sz w:val="18"/>
                <w:szCs w:val="18"/>
              </w:rPr>
              <w:t xml:space="preserve">Action</w:t>
            </w:r>
          </w:p>
        </w:tc>
        <w:tc>
          <w:tcPr>
            <w:tcW w:type="dxa" w:w="2700"/>
            <w:tcBorders>
              <w:top w:val="single" w:color="B8C2CE" w:sz="4"/>
              <w:left w:val="single" w:color="B8C2CE" w:sz="4"/>
              <w:bottom w:val="single" w:color="B8C2CE" w:sz="4"/>
              <w:right w:val="single" w:color="B8C2CE" w:sz="4"/>
            </w:tcBorders>
            <w:shd w:fill="E8EDF3" w:color="auto" w:val="clear"/>
            <w:tcMar>
              <w:top w:type="dxa" w:w="60"/>
              <w:left w:type="dxa" w:w="100"/>
              <w:bottom w:type="dxa" w:w="60"/>
              <w:right w:type="dxa" w:w="100"/>
            </w:tcMar>
          </w:tcPr>
          <w:p>
            <w:r>
              <w:rPr>
                <w:rFonts w:ascii="Arial" w:cs="Arial" w:eastAsia="Arial" w:hAnsi="Arial"/>
                <w:b/>
                <w:bCs/>
                <w:sz w:val="18"/>
                <w:szCs w:val="18"/>
              </w:rPr>
              <w:t xml:space="preserve">Owner</w:t>
            </w:r>
          </w:p>
        </w:tc>
        <w:tc>
          <w:tcPr>
            <w:tcW w:type="dxa" w:w="1820"/>
            <w:tcBorders>
              <w:top w:val="single" w:color="B8C2CE" w:sz="4"/>
              <w:left w:val="single" w:color="B8C2CE" w:sz="4"/>
              <w:bottom w:val="single" w:color="B8C2CE" w:sz="4"/>
              <w:right w:val="single" w:color="B8C2CE" w:sz="4"/>
            </w:tcBorders>
            <w:shd w:fill="E8EDF3" w:color="auto" w:val="clear"/>
            <w:tcMar>
              <w:top w:type="dxa" w:w="60"/>
              <w:left w:type="dxa" w:w="100"/>
              <w:bottom w:type="dxa" w:w="60"/>
              <w:right w:type="dxa" w:w="100"/>
            </w:tcMar>
          </w:tcPr>
          <w:p>
            <w:r>
              <w:rPr>
                <w:rFonts w:ascii="Arial" w:cs="Arial" w:eastAsia="Arial" w:hAnsi="Arial"/>
                <w:b/>
                <w:bCs/>
                <w:sz w:val="18"/>
                <w:szCs w:val="18"/>
              </w:rPr>
              <w:t xml:space="preserve">Due</w:t>
            </w:r>
          </w:p>
        </w:tc>
      </w:tr>
      <w:tr>
        <w:tc>
          <w:tcPr>
            <w:tcW w:type="dxa" w:w="52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Decide pooling for existing contracts</w:t>
            </w:r>
          </w:p>
        </w:tc>
        <w:tc>
          <w:tcPr>
            <w:tcW w:type="dxa" w:w="27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Helen Cho</w:t>
            </w:r>
          </w:p>
        </w:tc>
        <w:tc>
          <w:tcPr>
            <w:tcW w:type="dxa" w:w="18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Nov 6</w:t>
            </w:r>
          </w:p>
        </w:tc>
      </w:tr>
      <w:tr>
        <w:tc>
          <w:tcPr>
            <w:tcW w:type="dxa" w:w="52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Re-pick billing rule and FleetOS fault codes</w:t>
            </w:r>
          </w:p>
        </w:tc>
        <w:tc>
          <w:tcPr>
            <w:tcW w:type="dxa" w:w="27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Dev Patel / Ana Ruiz</w:t>
            </w:r>
          </w:p>
        </w:tc>
        <w:tc>
          <w:tcPr>
            <w:tcW w:type="dxa" w:w="18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Nov 13</w:t>
            </w:r>
          </w:p>
        </w:tc>
      </w:tr>
      <w:tr>
        <w:tc>
          <w:tcPr>
            <w:tcW w:type="dxa" w:w="52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Clarify Schedule B margin on true-up</w:t>
            </w:r>
          </w:p>
        </w:tc>
        <w:tc>
          <w:tcPr>
            <w:tcW w:type="dxa" w:w="27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Marcus Webb</w:t>
            </w:r>
          </w:p>
        </w:tc>
        <w:tc>
          <w:tcPr>
            <w:tcW w:type="dxa" w:w="18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Nov 13</w:t>
            </w:r>
          </w:p>
        </w:tc>
      </w:tr>
      <w:tr>
        <w:tc>
          <w:tcPr>
            <w:tcW w:type="dxa" w:w="52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Northgate true-up draft to Lakeshore</w:t>
            </w:r>
          </w:p>
        </w:tc>
        <w:tc>
          <w:tcPr>
            <w:tcW w:type="dxa" w:w="270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Leah Morgan</w:t>
            </w:r>
          </w:p>
        </w:tc>
        <w:tc>
          <w:tcPr>
            <w:tcW w:type="dxa" w:w="1820"/>
            <w:tcBorders>
              <w:top w:val="single" w:color="B8C2CE" w:sz="4"/>
              <w:left w:val="single" w:color="B8C2CE" w:sz="4"/>
              <w:bottom w:val="single" w:color="B8C2CE" w:sz="4"/>
              <w:right w:val="single" w:color="B8C2CE" w:sz="4"/>
            </w:tcBorders>
            <w:tcMar>
              <w:top w:type="dxa" w:w="60"/>
              <w:left w:type="dxa" w:w="100"/>
              <w:bottom w:type="dxa" w:w="60"/>
              <w:right w:type="dxa" w:w="100"/>
            </w:tcMar>
          </w:tcPr>
          <w:p>
            <w:r>
              <w:rPr>
                <w:rFonts w:ascii="Arial" w:cs="Arial" w:eastAsia="Arial" w:hAnsi="Arial"/>
                <w:b w:val="false"/>
                <w:bCs w:val="false"/>
                <w:sz w:val="18"/>
                <w:szCs w:val="18"/>
              </w:rPr>
              <w:t xml:space="preserve">Nov 10</w:t>
            </w:r>
          </w:p>
        </w:tc>
      </w:tr>
    </w:tbl>
    <w:sectPr>
      <w:footerReference w:type="default" r:id="rId6"/>
      <w:pgSz w:w="12240" w:h="15840" w:orient="portrait"/>
      <w:pgMar w:top="1260" w:right="1260" w:bottom="126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888888"/>
        <w:sz w:val="15"/>
        <w:szCs w:val="15"/>
      </w:rPr>
      <w:t xml:space="preserve">Kestrel Robotics · Internal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2026-10-21T19:37:57.711Z</dcterms:created>
  <dcterms:modified xsi:type="dcterms:W3CDTF">2026-10-21T19:37:57.711Z</dcterms:modified>
</cp:coreProperties>
</file>

<file path=docProps/custom.xml><?xml version="1.0" encoding="utf-8"?>
<Properties xmlns="http://schemas.openxmlformats.org/officeDocument/2006/custom-properties" xmlns:vt="http://schemas.openxmlformats.org/officeDocument/2006/docPropsVTypes"/>
</file>