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color w:val="666666"/>
          <w:sz w:val="17"/>
          <w:szCs w:val="17"/>
        </w:rPr>
        <w:t xml:space="preserve">KESTREL ROBOTICS · AUTHORIZED RESELLER AGREEMENT</w:t>
      </w:r>
    </w:p>
    <w:p>
      <w:pPr>
        <w:pStyle w:val="Heading1"/>
        <w:spacing w:after="120"/>
      </w:pPr>
      <w:r>
        <w:rPr>
          <w:rFonts w:ascii="Arial" w:cs="Arial" w:eastAsia="Arial" w:hAnsi="Arial"/>
          <w:b/>
          <w:bCs/>
          <w:color w:val="1F3A5F"/>
          <w:sz w:val="30"/>
          <w:szCs w:val="30"/>
        </w:rPr>
        <w:t xml:space="preserve">Schedule B — RaaS Resale, Billing and Margin</w:t>
      </w:r>
    </w:p>
    <w:p>
      <w:pPr>
        <w:spacing w:after="80"/>
      </w:pPr>
      <w:r>
        <w:rPr>
          <w:rFonts w:ascii="Arial" w:cs="Arial" w:eastAsia="Arial" w:hAnsi="Arial"/>
          <w:color w:val="666666"/>
          <w:sz w:val="17"/>
          <w:szCs w:val="17"/>
        </w:rPr>
        <w:t xml:space="preserve">Version FY26.1 · Effective November 1, 2025 · Applies to all authorized RaaS reseller partners</w:t>
      </w:r>
    </w:p>
    <w:p>
      <w:pPr>
        <w:pStyle w:val="Heading2"/>
        <w:spacing w:after="100" w:before="200"/>
      </w:pPr>
      <w:r>
        <w:rPr>
          <w:rFonts w:ascii="Arial" w:cs="Arial" w:eastAsia="Arial" w:hAnsi="Arial"/>
          <w:b/>
          <w:bCs/>
          <w:color w:val="1F3A5F"/>
          <w:sz w:val="23"/>
          <w:szCs w:val="23"/>
        </w:rPr>
        <w:t xml:space="preserve">B1. Definitions</w:t>
      </w:r>
    </w:p>
    <w:p>
      <w:pPr>
        <w:pStyle w:val="ListParagraph"/>
        <w:numPr>
          <w:ilvl w:val="0"/>
          <w:numId w:val="2"/>
        </w:numPr>
        <w:spacing w:after="60"/>
      </w:pPr>
      <w:r>
        <w:rPr>
          <w:rFonts w:ascii="Arial" w:cs="Arial" w:eastAsia="Arial" w:hAnsi="Arial"/>
          <w:b/>
          <w:bCs/>
          <w:sz w:val="20"/>
          <w:szCs w:val="20"/>
        </w:rPr>
        <w:t xml:space="preserve">Partner-sourced customer: </w:t>
      </w:r>
      <w:r>
        <w:rPr>
          <w:rFonts w:ascii="Arial" w:cs="Arial" w:eastAsia="Arial" w:hAnsi="Arial"/>
          <w:sz w:val="20"/>
          <w:szCs w:val="20"/>
        </w:rPr>
        <w:t xml:space="preserve">a customer whose RaaS agreement was registered and closed by the partner.</w:t>
      </w:r>
    </w:p>
    <w:p>
      <w:pPr>
        <w:pStyle w:val="ListParagraph"/>
        <w:numPr>
          <w:ilvl w:val="0"/>
          <w:numId w:val="2"/>
        </w:numPr>
        <w:spacing w:after="60"/>
      </w:pPr>
      <w:r>
        <w:rPr>
          <w:rFonts w:ascii="Arial" w:cs="Arial" w:eastAsia="Arial" w:hAnsi="Arial"/>
          <w:b/>
          <w:bCs/>
          <w:sz w:val="20"/>
          <w:szCs w:val="20"/>
        </w:rPr>
        <w:t xml:space="preserve">Usage charges: </w:t>
      </w:r>
      <w:r>
        <w:rPr>
          <w:rFonts w:ascii="Arial" w:cs="Arial" w:eastAsia="Arial" w:hAnsi="Arial"/>
          <w:sz w:val="20"/>
          <w:szCs w:val="20"/>
        </w:rPr>
        <w:t xml:space="preserve">per-pick charges under the customer's plan, net of program discounts.</w:t>
      </w:r>
    </w:p>
    <w:p>
      <w:pPr>
        <w:pStyle w:val="ListParagraph"/>
        <w:numPr>
          <w:ilvl w:val="0"/>
          <w:numId w:val="2"/>
        </w:numPr>
        <w:spacing w:after="60"/>
      </w:pPr>
      <w:r>
        <w:rPr>
          <w:rFonts w:ascii="Arial" w:cs="Arial" w:eastAsia="Arial" w:hAnsi="Arial"/>
          <w:b/>
          <w:bCs/>
          <w:sz w:val="20"/>
          <w:szCs w:val="20"/>
        </w:rPr>
        <w:t xml:space="preserve">Fixed fees: </w:t>
      </w:r>
      <w:r>
        <w:rPr>
          <w:rFonts w:ascii="Arial" w:cs="Arial" w:eastAsia="Arial" w:hAnsi="Arial"/>
          <w:sz w:val="20"/>
          <w:szCs w:val="20"/>
        </w:rPr>
        <w:t xml:space="preserve">the platform fee and robot fee, as set out in KR-POL-07.</w:t>
      </w:r>
    </w:p>
    <w:p>
      <w:pPr>
        <w:pStyle w:val="Heading2"/>
        <w:spacing w:after="100" w:before="200"/>
      </w:pPr>
      <w:r>
        <w:rPr>
          <w:rFonts w:ascii="Arial" w:cs="Arial" w:eastAsia="Arial" w:hAnsi="Arial"/>
          <w:b/>
          <w:bCs/>
          <w:color w:val="1F3A5F"/>
          <w:sz w:val="23"/>
          <w:szCs w:val="23"/>
        </w:rPr>
        <w:t xml:space="preserve">B2. Billing</w:t>
      </w:r>
    </w:p>
    <w:p>
      <w:pPr>
        <w:spacing w:after="120"/>
      </w:pPr>
      <w:r>
        <w:rPr>
          <w:rFonts w:ascii="Arial" w:cs="Arial" w:eastAsia="Arial" w:hAnsi="Arial"/>
          <w:sz w:val="20"/>
          <w:szCs w:val="20"/>
        </w:rPr>
        <w:t xml:space="preserve">Kestrel invoices partner-sourced customers directly, under Kestrel's commercial policy and on Kestrel's standard terms. The partner may view the customer's usage, alerts and invoices for the sites it supports.</w:t>
      </w:r>
    </w:p>
    <w:p>
      <w:pPr>
        <w:pStyle w:val="Heading2"/>
        <w:spacing w:after="100" w:before="200"/>
      </w:pPr>
      <w:r>
        <w:rPr>
          <w:rFonts w:ascii="Arial" w:cs="Arial" w:eastAsia="Arial" w:hAnsi="Arial"/>
          <w:b/>
          <w:bCs/>
          <w:color w:val="1F3A5F"/>
          <w:sz w:val="23"/>
          <w:szCs w:val="23"/>
        </w:rPr>
        <w:t xml:space="preserve">B3. True-up review</w:t>
      </w:r>
    </w:p>
    <w:p>
      <w:pPr>
        <w:spacing w:after="120"/>
      </w:pPr>
      <w:r>
        <w:rPr>
          <w:rFonts w:ascii="Arial" w:cs="Arial" w:eastAsia="Arial" w:hAnsi="Arial"/>
          <w:sz w:val="20"/>
          <w:szCs w:val="20"/>
        </w:rPr>
        <w:t xml:space="preserve">For partner-sourced customers, Kestrel prepares each annual true-up and releases the draft to the partner for review. The partner has five (5) business days to review the draft and raise any concern. If the partner has not responded within five business days, Kestrel may issue the true-up invoice to the customer.</w:t>
      </w:r>
    </w:p>
    <w:p>
      <w:pPr>
        <w:pStyle w:val="Heading2"/>
        <w:spacing w:after="100" w:before="200"/>
      </w:pPr>
      <w:r>
        <w:rPr>
          <w:rFonts w:ascii="Arial" w:cs="Arial" w:eastAsia="Arial" w:hAnsi="Arial"/>
          <w:b/>
          <w:bCs/>
          <w:color w:val="1F3A5F"/>
          <w:sz w:val="23"/>
          <w:szCs w:val="23"/>
        </w:rPr>
        <w:t xml:space="preserve">B4. Partner margin</w:t>
      </w:r>
    </w:p>
    <w:p>
      <w:pPr>
        <w:spacing w:after="120"/>
      </w:pPr>
      <w:r>
        <w:rPr>
          <w:rFonts w:ascii="Arial" w:cs="Arial" w:eastAsia="Arial" w:hAnsi="Arial"/>
          <w:sz w:val="20"/>
          <w:szCs w:val="20"/>
        </w:rPr>
        <w:t xml:space="preserve">Kestrel pays the partner a margin on amounts invoiced to partner-sourced customers, monthly in arrears: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500"/>
        <w:gridCol w:w="5220"/>
      </w:tblGrid>
      <w:tr>
        <w:tc>
          <w:tcPr>
            <w:tcW w:type="dxa" w:w="450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Charge</w:t>
            </w:r>
          </w:p>
        </w:tc>
        <w:tc>
          <w:tcPr>
            <w:tcW w:type="dxa" w:w="522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Partner margin</w:t>
            </w:r>
          </w:p>
        </w:tc>
      </w:tr>
      <w:tr>
        <w:tc>
          <w:tcPr>
            <w:tcW w:type="dxa" w:w="45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Fixed fees (platform and robot)</w:t>
            </w:r>
          </w:p>
        </w:tc>
        <w:tc>
          <w:tcPr>
            <w:tcW w:type="dxa" w:w="52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12% of amounts invoiced</w:t>
            </w:r>
          </w:p>
        </w:tc>
      </w:tr>
      <w:tr>
        <w:tc>
          <w:tcPr>
            <w:tcW w:type="dxa" w:w="45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Usage charges invoiced monthly</w:t>
            </w:r>
          </w:p>
        </w:tc>
        <w:tc>
          <w:tcPr>
            <w:tcW w:type="dxa" w:w="52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6% of amounts invoiced</w:t>
            </w:r>
          </w:p>
        </w:tc>
      </w:tr>
    </w:tbl>
    <w:p>
      <w:pPr>
        <w:spacing w:after="120"/>
      </w:pPr>
      <w:r>
        <w:rPr>
          <w:rFonts w:ascii="Arial" w:cs="Arial" w:eastAsia="Arial" w:hAnsi="Arial"/>
          <w:sz w:val="20"/>
          <w:szCs w:val="20"/>
        </w:rPr>
        <w:t xml:space="preserve"/>
      </w:r>
    </w:p>
    <w:p>
      <w:pPr>
        <w:pStyle w:val="Heading2"/>
        <w:spacing w:after="100" w:before="200"/>
      </w:pPr>
      <w:r>
        <w:rPr>
          <w:rFonts w:ascii="Arial" w:cs="Arial" w:eastAsia="Arial" w:hAnsi="Arial"/>
          <w:b/>
          <w:bCs/>
          <w:color w:val="1F3A5F"/>
          <w:sz w:val="23"/>
          <w:szCs w:val="23"/>
        </w:rPr>
        <w:t xml:space="preserve">B5. Pricing and discounts</w:t>
      </w:r>
    </w:p>
    <w:p>
      <w:pPr>
        <w:pStyle w:val="ListParagraph"/>
        <w:numPr>
          <w:ilvl w:val="0"/>
          <w:numId w:val="2"/>
        </w:numPr>
        <w:spacing w:after="60"/>
      </w:pPr>
      <w:r>
        <w:rPr>
          <w:rFonts w:ascii="Arial" w:cs="Arial" w:eastAsia="Arial" w:hAnsi="Arial"/>
          <w:sz w:val="20"/>
          <w:szCs w:val="20"/>
        </w:rPr>
        <w:t xml:space="preserve">Partners quote at Kestrel list price less program discounts and discounts approved under the Billing Approval Matrix.</w:t>
      </w:r>
    </w:p>
    <w:p>
      <w:pPr>
        <w:pStyle w:val="ListParagraph"/>
        <w:numPr>
          <w:ilvl w:val="0"/>
          <w:numId w:val="2"/>
        </w:numPr>
        <w:spacing w:after="60"/>
      </w:pPr>
      <w:r>
        <w:rPr>
          <w:rFonts w:ascii="Arial" w:cs="Arial" w:eastAsia="Arial" w:hAnsi="Arial"/>
          <w:sz w:val="20"/>
          <w:szCs w:val="20"/>
        </w:rPr>
        <w:t xml:space="preserve">A partner may give up to 3% additional discount on per-pick rates, funded from its own margin, without Kestrel approval.</w:t>
      </w:r>
    </w:p>
    <w:p>
      <w:pPr>
        <w:pStyle w:val="ListParagraph"/>
        <w:numPr>
          <w:ilvl w:val="0"/>
          <w:numId w:val="2"/>
        </w:numPr>
        <w:spacing w:after="60"/>
      </w:pPr>
      <w:r>
        <w:rPr>
          <w:rFonts w:ascii="Arial" w:cs="Arial" w:eastAsia="Arial" w:hAnsi="Arial"/>
          <w:sz w:val="20"/>
          <w:szCs w:val="20"/>
        </w:rPr>
        <w:t xml:space="preserve">Partners may not change plan commits, true-up terms or the definition of a pick.</w:t>
      </w:r>
    </w:p>
    <w:p>
      <w:pPr>
        <w:pStyle w:val="Heading2"/>
        <w:spacing w:after="100" w:before="200"/>
      </w:pPr>
      <w:r>
        <w:rPr>
          <w:rFonts w:ascii="Arial" w:cs="Arial" w:eastAsia="Arial" w:hAnsi="Arial"/>
          <w:b/>
          <w:bCs/>
          <w:color w:val="1F3A5F"/>
          <w:sz w:val="23"/>
          <w:szCs w:val="23"/>
        </w:rPr>
        <w:t xml:space="preserve">B6. Site support</w:t>
      </w:r>
    </w:p>
    <w:p>
      <w:pPr>
        <w:spacing w:after="120"/>
      </w:pPr>
      <w:r>
        <w:rPr>
          <w:rFonts w:ascii="Arial" w:cs="Arial" w:eastAsia="Arial" w:hAnsi="Arial"/>
          <w:sz w:val="20"/>
          <w:szCs w:val="20"/>
        </w:rPr>
        <w:t xml:space="preserve">The partner provides tier-1 on-site support for the fleets it installed, including first response to robot faults, within four business hours. Kestrel provides tier-2 support and all FleetOS software support.</w:t>
      </w:r>
    </w:p>
    <w:p>
      <w:pPr>
        <w:pStyle w:val="Heading2"/>
        <w:spacing w:after="100" w:before="200"/>
      </w:pPr>
      <w:r>
        <w:rPr>
          <w:rFonts w:ascii="Arial" w:cs="Arial" w:eastAsia="Arial" w:hAnsi="Arial"/>
          <w:b/>
          <w:bCs/>
          <w:color w:val="1F3A5F"/>
          <w:sz w:val="23"/>
          <w:szCs w:val="23"/>
        </w:rPr>
        <w:t xml:space="preserve">B7. Partner details (this schedule)</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c>
          <w:tcPr>
            <w:tcW w:type="dxa" w:w="300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Field</w:t>
            </w:r>
          </w:p>
        </w:tc>
        <w:tc>
          <w:tcPr>
            <w:tcW w:type="dxa" w:w="672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Value</w:t>
            </w:r>
          </w:p>
        </w:tc>
      </w:tr>
      <w:tr>
        <w:tc>
          <w:tcPr>
            <w:tcW w:type="dxa" w:w="30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Partner</w:t>
            </w:r>
          </w:p>
        </w:tc>
        <w:tc>
          <w:tcPr>
            <w:tcW w:type="dxa" w:w="67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Lakeshore Integration Partners, LLC</w:t>
            </w:r>
          </w:p>
        </w:tc>
      </w:tr>
      <w:tr>
        <w:tc>
          <w:tcPr>
            <w:tcW w:type="dxa" w:w="30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Partner number</w:t>
            </w:r>
          </w:p>
        </w:tc>
        <w:tc>
          <w:tcPr>
            <w:tcW w:type="dxa" w:w="67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LP-0312</w:t>
            </w:r>
          </w:p>
        </w:tc>
      </w:tr>
      <w:tr>
        <w:tc>
          <w:tcPr>
            <w:tcW w:type="dxa" w:w="30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Territory</w:t>
            </w:r>
          </w:p>
        </w:tc>
        <w:tc>
          <w:tcPr>
            <w:tcW w:type="dxa" w:w="67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Ohio, Texas, Nevada, Arizona</w:t>
            </w:r>
          </w:p>
        </w:tc>
      </w:tr>
      <w:tr>
        <w:tc>
          <w:tcPr>
            <w:tcW w:type="dxa" w:w="30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Account manager</w:t>
            </w:r>
          </w:p>
        </w:tc>
        <w:tc>
          <w:tcPr>
            <w:tcW w:type="dxa" w:w="67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Carla Mendes</w:t>
            </w:r>
          </w:p>
        </w:tc>
      </w:tr>
    </w:tbl>
    <w:sectPr>
      <w:footerReference w:type="default" r:id="rId6"/>
      <w:pgSz w:w="12240" w:h="15840" w:orient="portrait"/>
      <w:pgMar w:top="1260" w:right="1260" w:bottom="126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888888"/>
        <w:sz w:val="15"/>
        <w:szCs w:val="15"/>
      </w:rPr>
      <w:t xml:space="preserve">Kestrel Robotics · Authorized Reseller Agreement · Schedule B ·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2026-10-21T19:37:57.697Z</dcterms:created>
  <dcterms:modified xsi:type="dcterms:W3CDTF">2026-10-21T19:37:57.700Z</dcterms:modified>
</cp:coreProperties>
</file>

<file path=docProps/custom.xml><?xml version="1.0" encoding="utf-8"?>
<Properties xmlns="http://schemas.openxmlformats.org/officeDocument/2006/custom-properties" xmlns:vt="http://schemas.openxmlformats.org/officeDocument/2006/docPropsVTypes"/>
</file>